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data</w:t>
      </w:r>
    </w:p>
    <w:p>
      <w:r>
        <w:t>State,Board term cap (HOA),Board term cap (condo),Reserve study,Term source</w:t>
      </w:r>
    </w:p>
    <w:p>
      <w:r>
        <w:t>Arizona,No cap set,Same,No statute found,https://www.azleg.gov/ars/33/01246.htm</w:t>
      </w:r>
    </w:p>
    <w:p>
      <w:r>
        <w:t>California,4 years,Same,Required; redone at least every 3 years,https://leginfo.legislature.ca.gov/faces/codes_displaySection.xhtml?sectionNum=5100.&amp;lawCode=CIV</w:t>
      </w:r>
    </w:p>
    <w:p>
      <w:r>
        <w:t>Colorado,No cap set,Same,Not required; policy must be disclosed,https://law.justia.com/codes/colorado/title-38/real-property/interests-in-land/article-33-3/part-3/section-38-33-3-303/</w:t>
      </w:r>
    </w:p>
    <w:p>
      <w:r>
        <w:t>Florida,No cap set,8 years,HOA: not required; condo: every 10 years for buildings of 3 or more stories,https://www.flsenate.gov/Laws/Statutes/2025/718.112</w:t>
      </w:r>
    </w:p>
    <w:p>
      <w:r>
        <w:t>Georgia,No cap set,Same,No statute found,Not addressed by statute</w:t>
      </w:r>
    </w:p>
    <w:p>
      <w:r>
        <w:t>Illinois,4 years,2 years,Not required; condo budgets must fund reserves,https://ilga.gov/legislation/ilcs/documents/076501600K1-25.htm ; https://ilga.gov/documents/legislation/ilcs/documents/076506050K18.htm</w:t>
      </w:r>
    </w:p>
    <w:p>
      <w:r>
        <w:t>Maryland,No cap set,No cap set,Condos: every 5 years; HOAs in two counties,https://mgaleg.maryland.gov/2022RS/Statute_Web/grp/11B-111.pdf ; https://mgaleg.maryland.gov/2024RS/Statute_Web/grp/11-109.pdf</w:t>
      </w:r>
    </w:p>
    <w:p>
      <w:r>
        <w:t>North Carolina,No cap set,Same,Not required,https://law.justia.com/codes/north-carolina/chapter-47f/article-3/</w:t>
      </w:r>
    </w:p>
    <w:p>
      <w:r>
        <w:t>New Jersey,4 years (50 or more units),Same,Required; every 5 years,https://law.justia.com/codes/new-jersey/title-45/section-45-22a-45-2/</w:t>
      </w:r>
    </w:p>
    <w:p>
      <w:r>
        <w:t>Nevada,3 years,Same,Required; at least every 5 years,https://www.leg.state.nv.us/nrs/nrs-116.html</w:t>
      </w:r>
    </w:p>
    <w:p>
      <w:r>
        <w:t>Ohio,None; staggered terms required,None; staggered terms required,No study required; budget must include reserves unless owners waive,https://codes.ohio.gov/ohio-revised-code/section-5312.02 ; https://codes.ohio.gov/ohio-revised-code/section-5311.08</w:t>
      </w:r>
    </w:p>
    <w:p>
      <w:r>
        <w:t>South Carolina,5 years,No cap set,No statute found,https://www.scstatehouse.gov/code/t33c031.php ; https://www.scstatehouse.gov/code/t27c031.php</w:t>
      </w:r>
    </w:p>
    <w:p>
      <w:r>
        <w:t>Texas,No cap set,Same,Not required,Not addressed by statute</w:t>
      </w:r>
    </w:p>
    <w:p>
      <w:r>
        <w:t>Virginia,No cap set,Same,Required; at least every 5 years,https://law.lis.virginia.gov/vacode/title55.1/chapter18/</w:t>
      </w:r>
    </w:p>
    <w:p>
      <w:r>
        <w:t>Washington,No cap set,Same,Required; updated at least every 3 years,https://app.leg.wa.gov/RCW/default.aspx?cite=64.34.308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