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data</w:t>
      </w:r>
    </w:p>
    <w:p>
      <w:r>
        <w:t>| State | Fine cap per violation | Hearing before a fine | Special assessment limit | Records request response |</w:t>
      </w:r>
    </w:p>
    <w:p>
      <w:r>
        <w:t>|---|---|---|---|---|</w:t>
      </w:r>
    </w:p>
    <w:p>
      <w:r>
        <w:t>| Arizona | No dollar cap in statute | Yes | No statutory cap | 10 business days |</w:t>
      </w:r>
    </w:p>
    <w:p>
      <w:r>
        <w:t>| California | $100 (higher for health or safety violations) | Yes, 10 days written notice | 5 percent of budgeted gross expenses, then a member vote | 10 business days |</w:t>
      </w:r>
    </w:p>
    <w:p>
      <w:r>
        <w:t>| Colorado | $500 | Yes | No percentage cap in statute | 30 calendar days |</w:t>
      </w:r>
    </w:p>
    <w:p>
      <w:r>
        <w:t>| Florida | $100 | Yes, 14 days written notice | No statutory cap; set by the declaration | 10 business days |</w:t>
      </w:r>
    </w:p>
    <w:p>
      <w:r>
        <w:t>| Illinois | No dollar cap in statute | Yes | 115 percent petition trigger (HOA) | 30 days (HOA) |</w:t>
      </w:r>
    </w:p>
    <w:p>
      <w:r>
        <w:t>| Nevada | $100 | Yes | No percentage cap; owners can reject the budget | 21 days (financial documents) |</w:t>
      </w:r>
    </w:p>
    <w:p>
      <w:r>
        <w:t>| Texas | No dollar cap in statute | Yes, 10 days notice | No statutory cap | 10 business days |</w:t>
      </w:r>
    </w:p>
    <w:p>
      <w:r>
        <w:t>| Virginia | $50 | Yes, 14 days notice | No statutory cap | 10 business days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