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Download the data</w:t>
      </w:r>
    </w:p>
    <w:p>
      <w:r>
        <w:t>State,Hearing before a fine,Fine cap,Notice rule,Source</w:t>
      </w:r>
    </w:p>
    <w:p>
      <w:r>
        <w:t>Arizona,Yes,No cap on the fine itself,Owner has 21 calendar days to respond to a violation notice,https://www.azleg.gov/ars/33/01803.htm</w:t>
      </w:r>
    </w:p>
    <w:p>
      <w:r>
        <w:t>California,Yes,$100 per violation or the association's lower schedule,10 days' written notice before the meeting,https://leginfo.legislature.ca.gov/faces/codes_displaySection.xhtml?sectionNum=5850.&amp;lawCode=CIV ; https://leginfo.legislature.ca.gov/faces/codes_displaySection.xhtml?sectionNum=5855.&amp;lawCode=CIV</w:t>
      </w:r>
    </w:p>
    <w:p>
      <w:r>
        <w:t>Colorado,Yes under a written fine policy,$500 total for a non-safety violation,30-day written cure notice,https://law.justia.com/codes/colorado/title-38/real-property/interests-in-land/article-33-3/part-2/section-38-33-3-209-5/</w:t>
      </w:r>
    </w:p>
    <w:p>
      <w:r>
        <w:t>Florida (HOA),Yes before a committee of at least three non-board members,$100 per violation and $1000 total for a continuing violation unless the governing documents allow more,14 days' written notice of the hearing right,https://www.flsenate.gov/Laws/Statutes/2025/720.305</w:t>
      </w:r>
    </w:p>
    <w:p>
      <w:r>
        <w:t>Georgia,Not required by statute,None; fines only as the governing documents provide,None set for fines,https://law.justia.com/codes/georgia/title-44/chapter-3/article-6/section-44-3-223/</w:t>
      </w:r>
    </w:p>
    <w:p>
      <w:r>
        <w:t>Nevada,Yes unless paid first or waived,$100 per violation and $1000 per hearing,Written notice of the rule 30 days before the violation,https://www.leg.state.nv.us/nrs/nrs-116.html</w:t>
      </w:r>
    </w:p>
    <w:p>
      <w:r>
        <w:t>Texas,Yes on the owner's request,No statutory dollar cap,Hearing details at least 10 days ahead,https://texas.public.law/statutes/tex._prop._code_section_209.007</w:t>
      </w:r>
    </w:p>
    <w:p>
      <w:r>
        <w:t>Virginia,Yes after a chance to correct,$50 per violation or $10 per day for a continuing one,Hearing notice at least 14 days ahead,https://law.lis.virginia.gov/vacode/title55.1/chapter18/section55.1-1819/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